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. Sensitivity and publication bias analyses between PSP and PD subjects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.</w:t>
      </w:r>
    </w:p>
    <w:tbl>
      <w:tblPr>
        <w:tblStyle w:val="3"/>
        <w:tblpPr w:leftFromText="180" w:rightFromText="180" w:vertAnchor="page" w:horzAnchor="page" w:tblpX="1430" w:tblpY="2241"/>
        <w:tblW w:w="12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nil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op w:val="single" w:color="auto" w:sz="12" w:space="0"/>
              <w:left w:val="nil"/>
              <w:right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-0.32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0.778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Prefrontal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Parietal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-0.50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Occipital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-0.94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0.518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-1.90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0.308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Lat.t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Striatum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-1.86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Caudate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0.543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Putamen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6/6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Globus pallidus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6/6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0.994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Thalamus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-1.49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0.274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Subthalamic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0.204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Midbrain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0.221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Substantia nigra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0.646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Pons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Dentate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Cerebellar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deep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white matter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Post.c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ingulate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Entorhinal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Inf.temporal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N/A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keepNext w:val="0"/>
        <w:keepLines w:val="0"/>
        <w:widowControl w:val="0"/>
        <w:suppressLineNumbers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PSP, 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"/>
        </w:rPr>
        <w:t>progre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ssive supranuclear palsy; SMD, Standardized mean difference; CI,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confidence interval.</w:t>
      </w:r>
    </w:p>
    <w:p>
      <w:pPr>
        <w:keepNext w:val="0"/>
        <w:keepLines w:val="0"/>
        <w:widowControl w:val="0"/>
        <w:suppressLineNumbers w:val="0"/>
        <w:tabs>
          <w:tab w:val="left" w:pos="1425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 w:val="0"/>
        <w:suppressLineNumbers w:val="0"/>
        <w:tabs>
          <w:tab w:val="left" w:pos="1425"/>
        </w:tabs>
        <w:spacing w:before="0" w:beforeAutospacing="0" w:after="0" w:afterAutospacing="0"/>
        <w:ind w:left="0" w:right="0"/>
        <w:jc w:val="left"/>
        <w:rPr>
          <w:lang w:val="en-US"/>
        </w:r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44A45E13"/>
    <w:rsid w:val="1B6F18F1"/>
    <w:rsid w:val="44A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2023-01-16T14:45:00Z</dcterms:created>
  <dc:creator>张俊姣</dc:creator>
  <cp:lastModifiedBy>张俊姣</cp:lastModifiedBy>
  <dcterms:modified xsi:type="dcterms:W3CDTF">2023-01-16T16:12:32Z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C1C2C301D76B4D1C9D0F16F835C82677</vt:lpwstr>
  </property>
</Properties>
</file>